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5E7" w:rsidRPr="003855E7" w:rsidRDefault="003855E7" w:rsidP="00706D8D">
      <w:pPr>
        <w:spacing w:after="0" w:line="259" w:lineRule="auto"/>
        <w:ind w:left="0" w:firstLine="0"/>
        <w:jc w:val="center"/>
        <w:rPr>
          <w:rFonts w:ascii="Times New Roman" w:hAnsi="Times New Roman" w:cs="Times New Roman"/>
          <w:sz w:val="56"/>
        </w:rPr>
      </w:pPr>
    </w:p>
    <w:p w:rsidR="00706D8D" w:rsidRPr="003855E7" w:rsidRDefault="00706D8D" w:rsidP="003855E7">
      <w:pPr>
        <w:spacing w:after="0" w:line="259" w:lineRule="auto"/>
        <w:ind w:left="0" w:firstLine="0"/>
        <w:jc w:val="center"/>
        <w:rPr>
          <w:rFonts w:ascii="Times New Roman" w:hAnsi="Times New Roman" w:cs="Times New Roman"/>
          <w:b/>
          <w:sz w:val="32"/>
          <w:szCs w:val="32"/>
        </w:rPr>
      </w:pPr>
      <w:r w:rsidRPr="003855E7">
        <w:rPr>
          <w:rFonts w:ascii="Times New Roman" w:hAnsi="Times New Roman" w:cs="Times New Roman"/>
          <w:b/>
          <w:sz w:val="32"/>
          <w:szCs w:val="32"/>
        </w:rPr>
        <w:t>TEXAS SOUTHMOST COLLEGE</w:t>
      </w:r>
    </w:p>
    <w:p w:rsidR="00C147F4" w:rsidRPr="003855E7" w:rsidRDefault="00D046F2" w:rsidP="00706D8D">
      <w:pPr>
        <w:spacing w:after="0" w:line="259" w:lineRule="auto"/>
        <w:ind w:left="0" w:firstLine="0"/>
        <w:jc w:val="center"/>
        <w:rPr>
          <w:rFonts w:ascii="Times New Roman" w:hAnsi="Times New Roman" w:cs="Times New Roman"/>
          <w:b/>
          <w:sz w:val="32"/>
          <w:szCs w:val="32"/>
        </w:rPr>
      </w:pPr>
      <w:r w:rsidRPr="003855E7">
        <w:rPr>
          <w:rFonts w:ascii="Times New Roman" w:hAnsi="Times New Roman" w:cs="Times New Roman"/>
          <w:b/>
          <w:sz w:val="32"/>
          <w:szCs w:val="32"/>
        </w:rPr>
        <w:t>TITLE IX FAQs</w:t>
      </w:r>
    </w:p>
    <w:p w:rsidR="00C147F4" w:rsidRPr="003855E7" w:rsidRDefault="00D046F2">
      <w:pPr>
        <w:spacing w:after="158" w:line="259" w:lineRule="auto"/>
        <w:ind w:left="0" w:firstLine="0"/>
        <w:rPr>
          <w:rFonts w:ascii="Times New Roman" w:hAnsi="Times New Roman" w:cs="Times New Roman"/>
        </w:rPr>
      </w:pPr>
      <w:r w:rsidRPr="003855E7">
        <w:rPr>
          <w:rFonts w:ascii="Times New Roman" w:hAnsi="Times New Roman" w:cs="Times New Roman"/>
        </w:rPr>
        <w:t xml:space="preserve"> </w:t>
      </w:r>
    </w:p>
    <w:p w:rsidR="003855E7" w:rsidRDefault="00D046F2" w:rsidP="003855E7">
      <w:pPr>
        <w:spacing w:after="0" w:line="259" w:lineRule="auto"/>
        <w:ind w:left="0" w:firstLine="0"/>
        <w:rPr>
          <w:rFonts w:ascii="Times New Roman" w:hAnsi="Times New Roman" w:cs="Times New Roman"/>
          <w:b/>
          <w:color w:val="auto"/>
        </w:rPr>
      </w:pPr>
      <w:r w:rsidRPr="003855E7">
        <w:rPr>
          <w:rFonts w:ascii="Times New Roman" w:hAnsi="Times New Roman" w:cs="Times New Roman"/>
        </w:rPr>
        <w:t xml:space="preserve"> </w:t>
      </w:r>
      <w:r w:rsidRPr="003855E7">
        <w:rPr>
          <w:rFonts w:ascii="Times New Roman" w:hAnsi="Times New Roman" w:cs="Times New Roman"/>
          <w:b/>
          <w:color w:val="auto"/>
          <w:sz w:val="32"/>
        </w:rPr>
        <w:t xml:space="preserve">What are some examples of sexual misconduct? </w:t>
      </w:r>
    </w:p>
    <w:p w:rsidR="00C147F4" w:rsidRPr="003855E7" w:rsidRDefault="00D046F2" w:rsidP="003855E7">
      <w:pPr>
        <w:spacing w:after="0" w:line="259" w:lineRule="auto"/>
        <w:ind w:left="0" w:firstLine="0"/>
        <w:rPr>
          <w:rFonts w:ascii="Times New Roman" w:hAnsi="Times New Roman" w:cs="Times New Roman"/>
          <w:b/>
          <w:color w:val="auto"/>
        </w:rPr>
      </w:pPr>
      <w:r w:rsidRPr="003855E7">
        <w:rPr>
          <w:rFonts w:ascii="Times New Roman" w:hAnsi="Times New Roman" w:cs="Times New Roman"/>
        </w:rPr>
        <w:t>Sexual misconduct includes, but is not limited to, sexual assault, non-consensual sexual contact, stalking, sexual harassment, unwelcome</w:t>
      </w:r>
      <w:r w:rsidR="003855E7">
        <w:rPr>
          <w:rFonts w:ascii="Times New Roman" w:hAnsi="Times New Roman" w:cs="Times New Roman"/>
        </w:rPr>
        <w:t>d</w:t>
      </w:r>
      <w:r w:rsidRPr="003855E7">
        <w:rPr>
          <w:rFonts w:ascii="Times New Roman" w:hAnsi="Times New Roman" w:cs="Times New Roman"/>
        </w:rPr>
        <w:t xml:space="preserve"> sexual advances, requests for sexual favors, or verbal and physical conduct of a sexual nature, (when behavior is severe or pervasive enough to create an intimidating or hostile environment), threatening to sexually assault someone, cyber-stalking, indecent exposure, sexual exploitation (which includes taking non-consensual or abusive advantage of others, i.e. taking sexual photos). </w:t>
      </w:r>
    </w:p>
    <w:p w:rsidR="003855E7" w:rsidRDefault="003855E7" w:rsidP="00706D8D">
      <w:pPr>
        <w:spacing w:after="335" w:line="259" w:lineRule="auto"/>
        <w:ind w:left="0" w:firstLine="0"/>
        <w:rPr>
          <w:rFonts w:ascii="Times New Roman" w:hAnsi="Times New Roman" w:cs="Times New Roman"/>
        </w:rPr>
      </w:pPr>
    </w:p>
    <w:p w:rsidR="00C147F4" w:rsidRPr="003855E7" w:rsidRDefault="00D046F2" w:rsidP="003855E7">
      <w:pPr>
        <w:spacing w:after="0" w:line="259" w:lineRule="auto"/>
        <w:ind w:left="0" w:firstLine="0"/>
        <w:rPr>
          <w:rFonts w:ascii="Times New Roman" w:hAnsi="Times New Roman" w:cs="Times New Roman"/>
          <w:b/>
          <w:color w:val="auto"/>
        </w:rPr>
      </w:pPr>
      <w:r w:rsidRPr="003855E7">
        <w:rPr>
          <w:rFonts w:ascii="Times New Roman" w:hAnsi="Times New Roman" w:cs="Times New Roman"/>
          <w:b/>
          <w:color w:val="auto"/>
          <w:sz w:val="32"/>
        </w:rPr>
        <w:t xml:space="preserve">Who is going to find out? </w:t>
      </w:r>
    </w:p>
    <w:p w:rsidR="00C147F4" w:rsidRPr="003855E7" w:rsidRDefault="00D046F2" w:rsidP="003855E7">
      <w:pPr>
        <w:spacing w:after="0" w:line="259" w:lineRule="auto"/>
        <w:ind w:left="0" w:firstLine="0"/>
        <w:rPr>
          <w:rFonts w:ascii="Times New Roman" w:hAnsi="Times New Roman" w:cs="Times New Roman"/>
        </w:rPr>
      </w:pPr>
      <w:r w:rsidRPr="003855E7">
        <w:rPr>
          <w:rFonts w:ascii="Times New Roman" w:hAnsi="Times New Roman" w:cs="Times New Roman"/>
        </w:rPr>
        <w:t>The College strongly supports a student’s interest in confidentiality in Title IX harassment and sexual violence cases.  The College will only disclose information regarding such cases to individuals with responsibility for preparing the College’s response.  Disclosures required by loca</w:t>
      </w:r>
      <w:r w:rsidR="00706D8D" w:rsidRPr="003855E7">
        <w:rPr>
          <w:rFonts w:ascii="Times New Roman" w:hAnsi="Times New Roman" w:cs="Times New Roman"/>
        </w:rPr>
        <w:t>l, state, or federal law are</w:t>
      </w:r>
      <w:r w:rsidRPr="003855E7">
        <w:rPr>
          <w:rFonts w:ascii="Times New Roman" w:hAnsi="Times New Roman" w:cs="Times New Roman"/>
        </w:rPr>
        <w:t xml:space="preserve"> the sole exception. </w:t>
      </w:r>
    </w:p>
    <w:p w:rsidR="003D4CB5" w:rsidRPr="003855E7" w:rsidRDefault="00D046F2" w:rsidP="003855E7">
      <w:pPr>
        <w:spacing w:after="0" w:line="259" w:lineRule="auto"/>
        <w:ind w:left="0" w:firstLine="0"/>
        <w:rPr>
          <w:rFonts w:ascii="Times New Roman" w:hAnsi="Times New Roman" w:cs="Times New Roman"/>
        </w:rPr>
      </w:pPr>
      <w:r w:rsidRPr="003855E7">
        <w:rPr>
          <w:rFonts w:ascii="Times New Roman" w:hAnsi="Times New Roman" w:cs="Times New Roman"/>
        </w:rPr>
        <w:t xml:space="preserve"> A complainant may request that his or name not be disclosed to the respondent or that the College not investigate or seek action against the respondent.  The College will determine whether it can h</w:t>
      </w:r>
      <w:r w:rsidR="003D4CB5" w:rsidRPr="003855E7">
        <w:rPr>
          <w:rFonts w:ascii="Times New Roman" w:hAnsi="Times New Roman" w:cs="Times New Roman"/>
        </w:rPr>
        <w:t>o</w:t>
      </w:r>
      <w:r w:rsidRPr="003855E7">
        <w:rPr>
          <w:rFonts w:ascii="Times New Roman" w:hAnsi="Times New Roman" w:cs="Times New Roman"/>
        </w:rPr>
        <w:t>nor such a request while still providing a safe and nondiscriminatory environment for all students, including the complainant.  A complainant’s desire for anonymity or inaction may hinder the College’s investigation of a Title IX harassment or sexual violence complaint, but the College has the responsibility of providing a safe and nondiscriminatory environment for the College’s community members</w:t>
      </w:r>
      <w:r w:rsidR="00706D8D" w:rsidRPr="003855E7">
        <w:rPr>
          <w:rFonts w:ascii="Times New Roman" w:hAnsi="Times New Roman" w:cs="Times New Roman"/>
        </w:rPr>
        <w:t xml:space="preserve">, </w:t>
      </w:r>
      <w:r w:rsidRPr="003855E7">
        <w:rPr>
          <w:rFonts w:ascii="Times New Roman" w:hAnsi="Times New Roman" w:cs="Times New Roman"/>
        </w:rPr>
        <w:t>notwithstanding the complainant’s request for anonymity or inaction.  The College wil</w:t>
      </w:r>
      <w:r w:rsidR="00706D8D" w:rsidRPr="003855E7">
        <w:rPr>
          <w:rFonts w:ascii="Times New Roman" w:hAnsi="Times New Roman" w:cs="Times New Roman"/>
        </w:rPr>
        <w:t>l notify the complainant of its</w:t>
      </w:r>
      <w:r w:rsidRPr="003855E7">
        <w:rPr>
          <w:rFonts w:ascii="Times New Roman" w:hAnsi="Times New Roman" w:cs="Times New Roman"/>
        </w:rPr>
        <w:t xml:space="preserve"> intention to disclose the complainant’s identity if the College decides that providing a safe and nondiscriminatory environment for the College’s community members outweighs the complainant’s right to inaction or anonymity.  The College will also notify the respondent that the complainant requested the College not to pursue disciplinary action against the respondent if the College elects to proceed.</w:t>
      </w:r>
    </w:p>
    <w:p w:rsidR="003855E7" w:rsidRDefault="00D046F2" w:rsidP="00A930ED">
      <w:pPr>
        <w:ind w:left="-5"/>
        <w:rPr>
          <w:rFonts w:ascii="Times New Roman" w:hAnsi="Times New Roman" w:cs="Times New Roman"/>
        </w:rPr>
      </w:pPr>
      <w:r w:rsidRPr="003855E7">
        <w:rPr>
          <w:rFonts w:ascii="Times New Roman" w:hAnsi="Times New Roman" w:cs="Times New Roman"/>
        </w:rPr>
        <w:t xml:space="preserve"> </w:t>
      </w:r>
    </w:p>
    <w:p w:rsidR="003D4CB5" w:rsidRPr="003855E7" w:rsidRDefault="00D046F2" w:rsidP="003855E7">
      <w:pPr>
        <w:spacing w:after="0"/>
        <w:ind w:left="-5"/>
        <w:rPr>
          <w:rFonts w:ascii="Times New Roman" w:hAnsi="Times New Roman" w:cs="Times New Roman"/>
          <w:b/>
          <w:color w:val="auto"/>
          <w:sz w:val="32"/>
        </w:rPr>
      </w:pPr>
      <w:r w:rsidRPr="003855E7">
        <w:rPr>
          <w:rFonts w:ascii="Times New Roman" w:hAnsi="Times New Roman" w:cs="Times New Roman"/>
          <w:b/>
          <w:color w:val="auto"/>
          <w:sz w:val="32"/>
        </w:rPr>
        <w:t>What if I don’t wa</w:t>
      </w:r>
      <w:r w:rsidR="003D4CB5" w:rsidRPr="003855E7">
        <w:rPr>
          <w:rFonts w:ascii="Times New Roman" w:hAnsi="Times New Roman" w:cs="Times New Roman"/>
          <w:b/>
          <w:color w:val="auto"/>
          <w:sz w:val="32"/>
        </w:rPr>
        <w:t>nt to get the person in trouble?</w:t>
      </w:r>
    </w:p>
    <w:p w:rsidR="003D4CB5" w:rsidRPr="003855E7" w:rsidRDefault="003D4CB5" w:rsidP="003855E7">
      <w:pPr>
        <w:spacing w:after="0"/>
        <w:rPr>
          <w:rFonts w:ascii="Times New Roman" w:hAnsi="Times New Roman" w:cs="Times New Roman"/>
        </w:rPr>
      </w:pPr>
      <w:r w:rsidRPr="003855E7">
        <w:rPr>
          <w:rFonts w:ascii="Times New Roman" w:hAnsi="Times New Roman" w:cs="Times New Roman"/>
        </w:rPr>
        <w:t>It is not the College’s goal to get someone in trouble, but to respond to reports of harassment and acts of sexual misconduct by any individual which will involve holding the individual accountable for his/her behavior and taking steps to prevent this from happening again.</w:t>
      </w:r>
    </w:p>
    <w:p w:rsidR="003D4CB5" w:rsidRPr="003855E7" w:rsidRDefault="003D4CB5" w:rsidP="003D4CB5">
      <w:pPr>
        <w:rPr>
          <w:rFonts w:ascii="Times New Roman" w:hAnsi="Times New Roman" w:cs="Times New Roman"/>
        </w:rPr>
      </w:pPr>
    </w:p>
    <w:p w:rsidR="00133B1C" w:rsidRDefault="00133B1C" w:rsidP="003D4CB5">
      <w:pPr>
        <w:pStyle w:val="Heading1"/>
        <w:rPr>
          <w:rFonts w:ascii="Times New Roman" w:hAnsi="Times New Roman" w:cs="Times New Roman"/>
          <w:b/>
          <w:color w:val="auto"/>
        </w:rPr>
      </w:pPr>
      <w:bookmarkStart w:id="0" w:name="_GoBack"/>
      <w:bookmarkEnd w:id="0"/>
    </w:p>
    <w:p w:rsidR="003D4CB5" w:rsidRPr="003855E7" w:rsidRDefault="003D4CB5" w:rsidP="003D4CB5">
      <w:pPr>
        <w:pStyle w:val="Heading1"/>
        <w:rPr>
          <w:rFonts w:ascii="Times New Roman" w:hAnsi="Times New Roman" w:cs="Times New Roman"/>
          <w:b/>
          <w:color w:val="auto"/>
        </w:rPr>
      </w:pPr>
      <w:r w:rsidRPr="003855E7">
        <w:rPr>
          <w:rFonts w:ascii="Times New Roman" w:hAnsi="Times New Roman" w:cs="Times New Roman"/>
          <w:b/>
          <w:color w:val="auto"/>
        </w:rPr>
        <w:t>Can I have someone with me during this process?</w:t>
      </w:r>
    </w:p>
    <w:p w:rsidR="003D4CB5" w:rsidRPr="003855E7" w:rsidRDefault="003D4CB5" w:rsidP="003D4CB5">
      <w:pPr>
        <w:rPr>
          <w:rFonts w:ascii="Times New Roman" w:hAnsi="Times New Roman" w:cs="Times New Roman"/>
        </w:rPr>
      </w:pPr>
      <w:r w:rsidRPr="003855E7">
        <w:rPr>
          <w:rFonts w:ascii="Times New Roman" w:hAnsi="Times New Roman" w:cs="Times New Roman"/>
        </w:rPr>
        <w:t>Yes, both reporting parties and accused responding parties can have a person of their choosing with them throughout all of the step</w:t>
      </w:r>
      <w:r w:rsidR="00B45447" w:rsidRPr="003855E7">
        <w:rPr>
          <w:rFonts w:ascii="Times New Roman" w:hAnsi="Times New Roman" w:cs="Times New Roman"/>
        </w:rPr>
        <w:t>s</w:t>
      </w:r>
      <w:r w:rsidRPr="003855E7">
        <w:rPr>
          <w:rFonts w:ascii="Times New Roman" w:hAnsi="Times New Roman" w:cs="Times New Roman"/>
        </w:rPr>
        <w:t xml:space="preserve"> in the College process.</w:t>
      </w:r>
      <w:r w:rsidR="00B45447" w:rsidRPr="003855E7">
        <w:rPr>
          <w:rFonts w:ascii="Times New Roman" w:hAnsi="Times New Roman" w:cs="Times New Roman"/>
        </w:rPr>
        <w:t xml:space="preserve">  If you need </w:t>
      </w:r>
      <w:r w:rsidR="00F17F6F" w:rsidRPr="003855E7">
        <w:rPr>
          <w:rFonts w:ascii="Times New Roman" w:hAnsi="Times New Roman" w:cs="Times New Roman"/>
        </w:rPr>
        <w:t>assistance,</w:t>
      </w:r>
      <w:r w:rsidR="00B45447" w:rsidRPr="003855E7">
        <w:rPr>
          <w:rFonts w:ascii="Times New Roman" w:hAnsi="Times New Roman" w:cs="Times New Roman"/>
        </w:rPr>
        <w:t xml:space="preserve"> see the Title IX Coordinator for further information.</w:t>
      </w:r>
    </w:p>
    <w:p w:rsidR="00B45447" w:rsidRPr="003855E7" w:rsidRDefault="00B45447" w:rsidP="003D4CB5">
      <w:pPr>
        <w:rPr>
          <w:rFonts w:ascii="Times New Roman" w:hAnsi="Times New Roman" w:cs="Times New Roman"/>
        </w:rPr>
      </w:pPr>
    </w:p>
    <w:p w:rsidR="00B45447" w:rsidRPr="003855E7" w:rsidRDefault="00B45447" w:rsidP="00B45447">
      <w:pPr>
        <w:pStyle w:val="Heading1"/>
        <w:rPr>
          <w:rFonts w:ascii="Times New Roman" w:hAnsi="Times New Roman" w:cs="Times New Roman"/>
          <w:b/>
          <w:color w:val="auto"/>
        </w:rPr>
      </w:pPr>
      <w:r w:rsidRPr="003855E7">
        <w:rPr>
          <w:rFonts w:ascii="Times New Roman" w:hAnsi="Times New Roman" w:cs="Times New Roman"/>
          <w:b/>
          <w:color w:val="auto"/>
        </w:rPr>
        <w:t>Can someone retaliate against me for filing a Title IX claim?</w:t>
      </w:r>
    </w:p>
    <w:p w:rsidR="00B45447" w:rsidRPr="003855E7" w:rsidRDefault="00B45447" w:rsidP="00B45447">
      <w:pPr>
        <w:rPr>
          <w:rFonts w:ascii="Times New Roman" w:hAnsi="Times New Roman" w:cs="Times New Roman"/>
        </w:rPr>
      </w:pPr>
      <w:r w:rsidRPr="003855E7">
        <w:rPr>
          <w:rFonts w:ascii="Times New Roman" w:hAnsi="Times New Roman" w:cs="Times New Roman"/>
        </w:rPr>
        <w:t>No.  Retaliation is a violation of the College Title IX harassment policy.  The College’s policy prohibits any college community member from retaliating because of a person’s Title IX complaint.  It is against the College’s policy to retaliate against any person who exercised his or her right to file a formal or informal Title IX harassment complaint, used in any of the related processes the College provides, cooperated with an investigation, or testified or otherwise offered evidence connected to a complaint.  A complaint’s actual or perceived truth does not excuse retaliatory conduct.  Any person who observes retaliation should promptly notify the Title IX Coordinator.</w:t>
      </w:r>
    </w:p>
    <w:p w:rsidR="00B45447" w:rsidRPr="003855E7" w:rsidRDefault="00B45447" w:rsidP="00B45447">
      <w:pPr>
        <w:rPr>
          <w:rFonts w:ascii="Times New Roman" w:hAnsi="Times New Roman" w:cs="Times New Roman"/>
        </w:rPr>
      </w:pPr>
    </w:p>
    <w:p w:rsidR="00B45447" w:rsidRPr="003855E7" w:rsidRDefault="00B45447" w:rsidP="00B45447">
      <w:pPr>
        <w:pStyle w:val="Heading1"/>
        <w:rPr>
          <w:rFonts w:ascii="Times New Roman" w:hAnsi="Times New Roman" w:cs="Times New Roman"/>
          <w:b/>
          <w:color w:val="auto"/>
        </w:rPr>
      </w:pPr>
      <w:r w:rsidRPr="003855E7">
        <w:rPr>
          <w:rFonts w:ascii="Times New Roman" w:hAnsi="Times New Roman" w:cs="Times New Roman"/>
          <w:b/>
          <w:color w:val="auto"/>
        </w:rPr>
        <w:t>What is I’m not happy with the outcome?</w:t>
      </w:r>
    </w:p>
    <w:p w:rsidR="00B45447" w:rsidRPr="003855E7" w:rsidRDefault="00B45447" w:rsidP="00B45447">
      <w:pPr>
        <w:rPr>
          <w:rFonts w:ascii="Times New Roman" w:hAnsi="Times New Roman" w:cs="Times New Roman"/>
        </w:rPr>
      </w:pPr>
      <w:r w:rsidRPr="003855E7">
        <w:rPr>
          <w:rFonts w:ascii="Times New Roman" w:hAnsi="Times New Roman" w:cs="Times New Roman"/>
        </w:rPr>
        <w:t>Each party will have an opportunity to give facts during the investigation</w:t>
      </w:r>
      <w:r w:rsidR="00580C7F" w:rsidRPr="003855E7">
        <w:rPr>
          <w:rFonts w:ascii="Times New Roman" w:hAnsi="Times New Roman" w:cs="Times New Roman"/>
        </w:rPr>
        <w:t xml:space="preserve"> process.  TSC will make every effort to document all information discovered and provide it to the Hearing Officer who will be making recom</w:t>
      </w:r>
      <w:r w:rsidR="00706D8D" w:rsidRPr="003855E7">
        <w:rPr>
          <w:rFonts w:ascii="Times New Roman" w:hAnsi="Times New Roman" w:cs="Times New Roman"/>
        </w:rPr>
        <w:t xml:space="preserve">mendations to the President and his/her assigns as per Texas </w:t>
      </w:r>
      <w:proofErr w:type="spellStart"/>
      <w:r w:rsidR="00706D8D" w:rsidRPr="003855E7">
        <w:rPr>
          <w:rFonts w:ascii="Times New Roman" w:hAnsi="Times New Roman" w:cs="Times New Roman"/>
        </w:rPr>
        <w:t>Southmost</w:t>
      </w:r>
      <w:proofErr w:type="spellEnd"/>
      <w:r w:rsidR="00706D8D" w:rsidRPr="003855E7">
        <w:rPr>
          <w:rFonts w:ascii="Times New Roman" w:hAnsi="Times New Roman" w:cs="Times New Roman"/>
        </w:rPr>
        <w:t xml:space="preserve"> Misconduct Policy IX.07.07</w:t>
      </w:r>
    </w:p>
    <w:p w:rsidR="003D4CB5" w:rsidRPr="003855E7" w:rsidRDefault="003D4CB5">
      <w:pPr>
        <w:spacing w:after="0" w:line="259" w:lineRule="auto"/>
        <w:ind w:left="-5"/>
        <w:rPr>
          <w:rFonts w:ascii="Times New Roman" w:hAnsi="Times New Roman" w:cs="Times New Roman"/>
          <w:color w:val="2E74B5"/>
          <w:sz w:val="32"/>
        </w:rPr>
      </w:pPr>
    </w:p>
    <w:p w:rsidR="00C147F4" w:rsidRPr="003855E7" w:rsidRDefault="00D046F2">
      <w:pPr>
        <w:spacing w:after="0" w:line="259" w:lineRule="auto"/>
        <w:ind w:left="-5"/>
        <w:rPr>
          <w:rFonts w:ascii="Times New Roman" w:hAnsi="Times New Roman" w:cs="Times New Roman"/>
        </w:rPr>
      </w:pPr>
      <w:r w:rsidRPr="003855E7">
        <w:rPr>
          <w:rFonts w:ascii="Times New Roman" w:hAnsi="Times New Roman" w:cs="Times New Roman"/>
          <w:color w:val="2E74B5"/>
          <w:sz w:val="32"/>
        </w:rPr>
        <w:t xml:space="preserve"> </w:t>
      </w:r>
    </w:p>
    <w:p w:rsidR="00C147F4" w:rsidRPr="003855E7" w:rsidRDefault="00D046F2">
      <w:pPr>
        <w:spacing w:line="259" w:lineRule="auto"/>
        <w:ind w:left="0" w:firstLine="0"/>
        <w:rPr>
          <w:rFonts w:ascii="Times New Roman" w:hAnsi="Times New Roman" w:cs="Times New Roman"/>
        </w:rPr>
      </w:pPr>
      <w:r w:rsidRPr="003855E7">
        <w:rPr>
          <w:rFonts w:ascii="Times New Roman" w:hAnsi="Times New Roman" w:cs="Times New Roman"/>
        </w:rPr>
        <w:t xml:space="preserve"> </w:t>
      </w:r>
    </w:p>
    <w:p w:rsidR="00C147F4" w:rsidRPr="003855E7" w:rsidRDefault="00D046F2">
      <w:pPr>
        <w:spacing w:after="0" w:line="259" w:lineRule="auto"/>
        <w:ind w:left="0" w:firstLine="0"/>
        <w:rPr>
          <w:rFonts w:ascii="Times New Roman" w:hAnsi="Times New Roman" w:cs="Times New Roman"/>
        </w:rPr>
      </w:pPr>
      <w:r w:rsidRPr="003855E7">
        <w:rPr>
          <w:rFonts w:ascii="Times New Roman" w:hAnsi="Times New Roman" w:cs="Times New Roman"/>
        </w:rPr>
        <w:t xml:space="preserve"> </w:t>
      </w:r>
    </w:p>
    <w:sectPr w:rsidR="00C147F4" w:rsidRPr="003855E7" w:rsidSect="00A930ED">
      <w:headerReference w:type="default" r:id="rId7"/>
      <w:footerReference w:type="default" r:id="rId8"/>
      <w:pgSz w:w="12240" w:h="15840"/>
      <w:pgMar w:top="720" w:right="1454"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306" w:rsidRDefault="00A10306" w:rsidP="003855E7">
      <w:pPr>
        <w:spacing w:after="0" w:line="240" w:lineRule="auto"/>
      </w:pPr>
      <w:r>
        <w:separator/>
      </w:r>
    </w:p>
  </w:endnote>
  <w:endnote w:type="continuationSeparator" w:id="0">
    <w:p w:rsidR="00A10306" w:rsidRDefault="00A10306" w:rsidP="0038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875721"/>
      <w:docPartObj>
        <w:docPartGallery w:val="Page Numbers (Bottom of Page)"/>
        <w:docPartUnique/>
      </w:docPartObj>
    </w:sdtPr>
    <w:sdtEndPr/>
    <w:sdtContent>
      <w:sdt>
        <w:sdtPr>
          <w:id w:val="-1769616900"/>
          <w:docPartObj>
            <w:docPartGallery w:val="Page Numbers (Top of Page)"/>
            <w:docPartUnique/>
          </w:docPartObj>
        </w:sdtPr>
        <w:sdtEndPr/>
        <w:sdtContent>
          <w:p w:rsidR="003855E7" w:rsidRDefault="003855E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E568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E568E">
              <w:rPr>
                <w:b/>
                <w:bCs/>
                <w:noProof/>
              </w:rPr>
              <w:t>2</w:t>
            </w:r>
            <w:r>
              <w:rPr>
                <w:b/>
                <w:bCs/>
                <w:sz w:val="24"/>
                <w:szCs w:val="24"/>
              </w:rPr>
              <w:fldChar w:fldCharType="end"/>
            </w:r>
          </w:p>
        </w:sdtContent>
      </w:sdt>
    </w:sdtContent>
  </w:sdt>
  <w:p w:rsidR="003855E7" w:rsidRDefault="003855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306" w:rsidRDefault="00A10306" w:rsidP="003855E7">
      <w:pPr>
        <w:spacing w:after="0" w:line="240" w:lineRule="auto"/>
      </w:pPr>
      <w:r>
        <w:separator/>
      </w:r>
    </w:p>
  </w:footnote>
  <w:footnote w:type="continuationSeparator" w:id="0">
    <w:p w:rsidR="00A10306" w:rsidRDefault="00A10306" w:rsidP="00385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5E7" w:rsidRDefault="003855E7" w:rsidP="003855E7">
    <w:pPr>
      <w:spacing w:before="240"/>
      <w:ind w:left="7920" w:firstLine="720"/>
      <w:jc w:val="center"/>
      <w:rPr>
        <w:rFonts w:ascii="Times New Roman" w:hAnsi="Times New Roman"/>
      </w:rPr>
    </w:pPr>
    <w:r>
      <w:rPr>
        <w:noProof/>
      </w:rPr>
      <w:drawing>
        <wp:anchor distT="0" distB="0" distL="114300" distR="114300" simplePos="0" relativeHeight="251660288" behindDoc="1" locked="0" layoutInCell="1" allowOverlap="1" wp14:anchorId="217B2283" wp14:editId="0BE7C459">
          <wp:simplePos x="0" y="0"/>
          <wp:positionH relativeFrom="column">
            <wp:posOffset>55245</wp:posOffset>
          </wp:positionH>
          <wp:positionV relativeFrom="paragraph">
            <wp:posOffset>137160</wp:posOffset>
          </wp:positionV>
          <wp:extent cx="668655" cy="823595"/>
          <wp:effectExtent l="0" t="0" r="0" b="0"/>
          <wp:wrapThrough wrapText="bothSides">
            <wp:wrapPolygon edited="0">
              <wp:start x="6769" y="0"/>
              <wp:lineTo x="0" y="5995"/>
              <wp:lineTo x="0" y="13490"/>
              <wp:lineTo x="8615" y="15988"/>
              <wp:lineTo x="8615" y="16987"/>
              <wp:lineTo x="11077" y="20984"/>
              <wp:lineTo x="11692" y="20984"/>
              <wp:lineTo x="16000" y="20984"/>
              <wp:lineTo x="17846" y="20984"/>
              <wp:lineTo x="18462" y="17986"/>
              <wp:lineTo x="17231" y="15988"/>
              <wp:lineTo x="20923" y="11991"/>
              <wp:lineTo x="20923" y="5995"/>
              <wp:lineTo x="14154" y="0"/>
              <wp:lineTo x="6769" y="0"/>
            </wp:wrapPolygon>
          </wp:wrapThrough>
          <wp:docPr id="4" name="Picture 4" descr="tsc-logo-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sc-logo-horizontal"/>
                  <pic:cNvPicPr>
                    <a:picLocks noChangeAspect="1" noChangeArrowheads="1"/>
                  </pic:cNvPicPr>
                </pic:nvPicPr>
                <pic:blipFill>
                  <a:blip r:embed="rId1">
                    <a:extLst>
                      <a:ext uri="{28A0092B-C50C-407E-A947-70E740481C1C}">
                        <a14:useLocalDpi xmlns:a14="http://schemas.microsoft.com/office/drawing/2010/main" val="0"/>
                      </a:ext>
                    </a:extLst>
                  </a:blip>
                  <a:srcRect r="82251"/>
                  <a:stretch>
                    <a:fillRect/>
                  </a:stretch>
                </pic:blipFill>
                <pic:spPr bwMode="auto">
                  <a:xfrm>
                    <a:off x="0" y="0"/>
                    <a:ext cx="66865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5644C1E" wp14:editId="03C9072C">
          <wp:simplePos x="0" y="0"/>
          <wp:positionH relativeFrom="column">
            <wp:posOffset>850900</wp:posOffset>
          </wp:positionH>
          <wp:positionV relativeFrom="paragraph">
            <wp:posOffset>152400</wp:posOffset>
          </wp:positionV>
          <wp:extent cx="2440305" cy="458470"/>
          <wp:effectExtent l="0" t="0" r="0" b="0"/>
          <wp:wrapThrough wrapText="bothSides">
            <wp:wrapPolygon edited="0">
              <wp:start x="7756" y="0"/>
              <wp:lineTo x="0" y="898"/>
              <wp:lineTo x="0" y="11668"/>
              <wp:lineTo x="5059" y="15258"/>
              <wp:lineTo x="5396" y="19745"/>
              <wp:lineTo x="16356" y="19745"/>
              <wp:lineTo x="16356" y="15258"/>
              <wp:lineTo x="21415" y="11668"/>
              <wp:lineTo x="21415" y="1795"/>
              <wp:lineTo x="8600" y="0"/>
              <wp:lineTo x="7756" y="0"/>
            </wp:wrapPolygon>
          </wp:wrapThrough>
          <wp:docPr id="5" name="Picture 5" descr="tsc-logo-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sc-logo-horizontal"/>
                  <pic:cNvPicPr>
                    <a:picLocks noChangeAspect="1" noChangeArrowheads="1"/>
                  </pic:cNvPicPr>
                </pic:nvPicPr>
                <pic:blipFill>
                  <a:blip r:embed="rId1">
                    <a:extLst>
                      <a:ext uri="{28A0092B-C50C-407E-A947-70E740481C1C}">
                        <a14:useLocalDpi xmlns:a14="http://schemas.microsoft.com/office/drawing/2010/main" val="0"/>
                      </a:ext>
                    </a:extLst>
                  </a:blip>
                  <a:srcRect l="17424" t="25247" b="3960"/>
                  <a:stretch>
                    <a:fillRect/>
                  </a:stretch>
                </pic:blipFill>
                <pic:spPr bwMode="auto">
                  <a:xfrm>
                    <a:off x="0" y="0"/>
                    <a:ext cx="2440305" cy="458470"/>
                  </a:xfrm>
                  <a:prstGeom prst="rect">
                    <a:avLst/>
                  </a:prstGeom>
                  <a:noFill/>
                  <a:ln>
                    <a:noFill/>
                  </a:ln>
                </pic:spPr>
              </pic:pic>
            </a:graphicData>
          </a:graphic>
          <wp14:sizeRelH relativeFrom="page">
            <wp14:pctWidth>0</wp14:pctWidth>
          </wp14:sizeRelH>
          <wp14:sizeRelV relativeFrom="page">
            <wp14:pctHeight>0</wp14:pctHeight>
          </wp14:sizeRelV>
        </wp:anchor>
      </w:drawing>
    </w:r>
    <w:r w:rsidR="00602D2F">
      <w:rPr>
        <w:noProof/>
      </w:rPr>
      <mc:AlternateContent>
        <mc:Choice Requires="wps">
          <w:drawing>
            <wp:anchor distT="4294967295" distB="4294967295" distL="114300" distR="114300" simplePos="0" relativeHeight="251659264" behindDoc="0" locked="0" layoutInCell="1" allowOverlap="1">
              <wp:simplePos x="0" y="0"/>
              <wp:positionH relativeFrom="column">
                <wp:posOffset>874395</wp:posOffset>
              </wp:positionH>
              <wp:positionV relativeFrom="paragraph">
                <wp:posOffset>676274</wp:posOffset>
              </wp:positionV>
              <wp:extent cx="5501005" cy="0"/>
              <wp:effectExtent l="0" t="0" r="4445"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90B10A" id="_x0000_t32" coordsize="21600,21600" o:spt="32" o:oned="t" path="m,l21600,21600e" filled="f">
              <v:path arrowok="t" fillok="f" o:connecttype="none"/>
              <o:lock v:ext="edit" shapetype="t"/>
            </v:shapetype>
            <v:shape id="AutoShape 2" o:spid="_x0000_s1026" type="#_x0000_t32" style="position:absolute;margin-left:68.85pt;margin-top:53.25pt;width:433.1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"/>
          </w:pict>
        </mc:Fallback>
      </mc:AlternateContent>
    </w:r>
  </w:p>
  <w:p w:rsidR="003855E7" w:rsidRPr="00AB62B1" w:rsidRDefault="003855E7" w:rsidP="003855E7">
    <w:pPr>
      <w:spacing w:before="240"/>
      <w:ind w:left="7200"/>
      <w:rPr>
        <w:rFonts w:ascii="Times New Roman" w:hAnsi="Times New Roman"/>
      </w:rPr>
    </w:pPr>
    <w:r>
      <w:rPr>
        <w:rFonts w:ascii="Times New Roman" w:hAnsi="Times New Roman"/>
      </w:rPr>
      <w:t xml:space="preserve">     </w:t>
    </w:r>
  </w:p>
  <w:p w:rsidR="003855E7" w:rsidRPr="003855E7" w:rsidRDefault="003855E7" w:rsidP="003855E7">
    <w:pPr>
      <w:spacing w:before="240"/>
      <w:rPr>
        <w:sz w:val="20"/>
        <w:szCs w:val="20"/>
      </w:rPr>
    </w:pPr>
    <w:r>
      <w:rPr>
        <w:sz w:val="18"/>
      </w:rPr>
      <w:t xml:space="preserve">  </w:t>
    </w:r>
    <w:r w:rsidR="001E568E">
      <w:rPr>
        <w:sz w:val="18"/>
      </w:rPr>
      <w:t xml:space="preserve">     </w:t>
    </w:r>
    <w:r w:rsidRPr="003855E7">
      <w:rPr>
        <w:rFonts w:ascii="Times New Roman" w:hAnsi="Times New Roman"/>
        <w:sz w:val="20"/>
        <w:szCs w:val="20"/>
      </w:rPr>
      <w:t>80 Fort Brown • Brownsville, Texas 78520 • (956) 295-3770 • Fax (956) 948-9459 • www.tsc.edu</w:t>
    </w:r>
  </w:p>
  <w:p w:rsidR="003855E7" w:rsidRPr="003855E7" w:rsidRDefault="003855E7" w:rsidP="003855E7">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F4"/>
    <w:rsid w:val="000A07BE"/>
    <w:rsid w:val="00133B1C"/>
    <w:rsid w:val="001E568E"/>
    <w:rsid w:val="003855E7"/>
    <w:rsid w:val="003D4CB5"/>
    <w:rsid w:val="00580C7F"/>
    <w:rsid w:val="00602D2F"/>
    <w:rsid w:val="00706D8D"/>
    <w:rsid w:val="00A10306"/>
    <w:rsid w:val="00A930ED"/>
    <w:rsid w:val="00B45447"/>
    <w:rsid w:val="00C147F4"/>
    <w:rsid w:val="00D046F2"/>
    <w:rsid w:val="00F009C7"/>
    <w:rsid w:val="00F1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70E72"/>
  <w15:docId w15:val="{2B0025D5-3747-4467-933F-C7193562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9C7"/>
    <w:pPr>
      <w:spacing w:line="258" w:lineRule="auto"/>
      <w:ind w:left="10" w:hanging="10"/>
    </w:pPr>
    <w:rPr>
      <w:rFonts w:ascii="Calibri" w:eastAsia="Calibri" w:hAnsi="Calibri" w:cs="Calibri"/>
      <w:color w:val="000000"/>
    </w:rPr>
  </w:style>
  <w:style w:type="paragraph" w:styleId="Heading1">
    <w:name w:val="heading 1"/>
    <w:basedOn w:val="Normal"/>
    <w:next w:val="Normal"/>
    <w:link w:val="Heading1Char"/>
    <w:uiPriority w:val="9"/>
    <w:qFormat/>
    <w:rsid w:val="003D4C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CB5"/>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04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6F2"/>
    <w:rPr>
      <w:rFonts w:ascii="Segoe UI" w:eastAsia="Calibri" w:hAnsi="Segoe UI" w:cs="Segoe UI"/>
      <w:color w:val="000000"/>
      <w:sz w:val="18"/>
      <w:szCs w:val="18"/>
    </w:rPr>
  </w:style>
  <w:style w:type="paragraph" w:styleId="Header">
    <w:name w:val="header"/>
    <w:basedOn w:val="Normal"/>
    <w:link w:val="HeaderChar"/>
    <w:uiPriority w:val="99"/>
    <w:unhideWhenUsed/>
    <w:rsid w:val="00385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5E7"/>
    <w:rPr>
      <w:rFonts w:ascii="Calibri" w:eastAsia="Calibri" w:hAnsi="Calibri" w:cs="Calibri"/>
      <w:color w:val="000000"/>
    </w:rPr>
  </w:style>
  <w:style w:type="paragraph" w:styleId="Footer">
    <w:name w:val="footer"/>
    <w:basedOn w:val="Normal"/>
    <w:link w:val="FooterChar"/>
    <w:uiPriority w:val="99"/>
    <w:unhideWhenUsed/>
    <w:rsid w:val="00385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5E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D3128-0608-4AFB-A847-4F88E3343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recio</dc:creator>
  <cp:lastModifiedBy>Cristina Garcia</cp:lastModifiedBy>
  <cp:revision>3</cp:revision>
  <cp:lastPrinted>2020-09-23T22:22:00Z</cp:lastPrinted>
  <dcterms:created xsi:type="dcterms:W3CDTF">2021-06-03T19:55:00Z</dcterms:created>
  <dcterms:modified xsi:type="dcterms:W3CDTF">2021-06-04T20:01:00Z</dcterms:modified>
</cp:coreProperties>
</file>