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6F" w:rsidRDefault="00CE036F" w:rsidP="00CE036F">
      <w:pPr>
        <w:pStyle w:val="BodyText"/>
        <w:spacing w:before="72" w:line="276" w:lineRule="auto"/>
        <w:ind w:left="0" w:right="127" w:firstLine="0"/>
        <w:rPr>
          <w:b/>
          <w:sz w:val="36"/>
          <w:szCs w:val="36"/>
        </w:rPr>
      </w:pPr>
      <w:bookmarkStart w:id="0" w:name="_GoBack"/>
      <w:bookmarkEnd w:id="0"/>
    </w:p>
    <w:p w:rsidR="00A57A83" w:rsidRPr="00A57A83" w:rsidRDefault="00A57A83" w:rsidP="00CE036F">
      <w:pPr>
        <w:pStyle w:val="BodyText"/>
        <w:spacing w:before="72" w:line="276" w:lineRule="auto"/>
        <w:ind w:left="0" w:right="127" w:firstLine="0"/>
        <w:jc w:val="center"/>
        <w:rPr>
          <w:b/>
          <w:sz w:val="36"/>
          <w:szCs w:val="36"/>
        </w:rPr>
      </w:pPr>
      <w:r w:rsidRPr="00A57A83">
        <w:rPr>
          <w:b/>
          <w:sz w:val="36"/>
          <w:szCs w:val="36"/>
        </w:rPr>
        <w:t>TSC and Title IX</w:t>
      </w:r>
    </w:p>
    <w:p w:rsidR="00A57A83" w:rsidRDefault="00A57A83" w:rsidP="00A57A83">
      <w:pPr>
        <w:pStyle w:val="BodyText"/>
        <w:spacing w:before="72" w:line="276" w:lineRule="auto"/>
        <w:ind w:left="100" w:right="127" w:firstLine="0"/>
      </w:pPr>
    </w:p>
    <w:p w:rsidR="007A6D93" w:rsidRDefault="00A57A83" w:rsidP="00A57A83">
      <w:pPr>
        <w:pStyle w:val="BodyText"/>
        <w:spacing w:before="72" w:line="276" w:lineRule="auto"/>
        <w:ind w:left="100" w:right="127" w:firstLine="0"/>
      </w:pPr>
      <w:r>
        <w:t>On August 14, 2020, the full force of federal law came crashing down on all Colleges and</w:t>
      </w:r>
      <w:r>
        <w:rPr>
          <w:spacing w:val="1"/>
        </w:rPr>
        <w:t xml:space="preserve"> </w:t>
      </w:r>
      <w:r>
        <w:t>Universities across the nation, when the new Title IX regulations went into effect.</w:t>
      </w:r>
      <w:r>
        <w:rPr>
          <w:spacing w:val="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August 14, 2020, Title IX regulations reflected the educational philosophies of Presidential</w:t>
      </w:r>
      <w:r>
        <w:rPr>
          <w:spacing w:val="1"/>
        </w:rPr>
        <w:t xml:space="preserve"> </w:t>
      </w:r>
      <w:r>
        <w:t>administrations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Lyndon</w:t>
      </w:r>
      <w:r>
        <w:rPr>
          <w:spacing w:val="2"/>
        </w:rPr>
        <w:t xml:space="preserve"> </w:t>
      </w:r>
      <w:r w:rsidR="00CE036F">
        <w:rPr>
          <w:spacing w:val="2"/>
        </w:rPr>
        <w:t xml:space="preserve">B. </w:t>
      </w:r>
      <w:r>
        <w:t>Johnson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 w:rsidR="004F2525">
        <w:t>Barack</w:t>
      </w:r>
      <w:r>
        <w:rPr>
          <w:spacing w:val="2"/>
        </w:rPr>
        <w:t xml:space="preserve"> </w:t>
      </w:r>
      <w:r>
        <w:t>Obama,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 xml:space="preserve">to all Colleges and Universities on how to deal with </w:t>
      </w:r>
      <w:r w:rsidRPr="00CE036F">
        <w:t xml:space="preserve">sexual misconduct and discrimination, </w:t>
      </w:r>
      <w:r>
        <w:t>but</w:t>
      </w:r>
      <w:r>
        <w:rPr>
          <w:spacing w:val="1"/>
        </w:rPr>
        <w:t xml:space="preserve"> </w:t>
      </w:r>
      <w:r>
        <w:t>left the details of enforcement to the individual schools.</w:t>
      </w:r>
      <w:r>
        <w:rPr>
          <w:spacing w:val="1"/>
        </w:rPr>
        <w:t xml:space="preserve"> </w:t>
      </w:r>
      <w:r>
        <w:t>The new Title IX regulations carry the</w:t>
      </w:r>
      <w:r>
        <w:rPr>
          <w:spacing w:val="1"/>
        </w:rPr>
        <w:t xml:space="preserve"> </w:t>
      </w:r>
      <w:r>
        <w:t>force of federal law, meaning that educational institutions are federally mandated to implement</w:t>
      </w:r>
      <w:r>
        <w:rPr>
          <w:spacing w:val="1"/>
        </w:rPr>
        <w:t xml:space="preserve"> </w:t>
      </w:r>
      <w:r>
        <w:t>and follow them.</w:t>
      </w:r>
      <w:r>
        <w:rPr>
          <w:spacing w:val="60"/>
        </w:rPr>
        <w:t xml:space="preserve"> </w:t>
      </w:r>
      <w:r>
        <w:t>Failure to do so risks loss of federally funded College and University</w:t>
      </w:r>
      <w:r>
        <w:rPr>
          <w:spacing w:val="1"/>
        </w:rPr>
        <w:t xml:space="preserve"> </w:t>
      </w:r>
      <w:r>
        <w:t>programs.</w:t>
      </w:r>
      <w:r>
        <w:rPr>
          <w:spacing w:val="58"/>
        </w:rPr>
        <w:t xml:space="preserve"> </w:t>
      </w:r>
      <w:r>
        <w:t>Texas</w:t>
      </w:r>
      <w:r>
        <w:rPr>
          <w:spacing w:val="-1"/>
        </w:rPr>
        <w:t xml:space="preserve"> </w:t>
      </w:r>
      <w:proofErr w:type="spellStart"/>
      <w:r>
        <w:t>Southmost</w:t>
      </w:r>
      <w:proofErr w:type="spellEnd"/>
      <w:r>
        <w:rPr>
          <w:spacing w:val="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and is</w:t>
      </w:r>
      <w:r w:rsidR="00CE036F"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 becoming</w:t>
      </w:r>
      <w:r>
        <w:rPr>
          <w:spacing w:val="-3"/>
        </w:rPr>
        <w:t xml:space="preserve"> </w:t>
      </w:r>
      <w:r>
        <w:t>compliant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gramStart"/>
      <w:r>
        <w:t>the</w:t>
      </w:r>
      <w:r w:rsidR="00CE036F">
        <w:t xml:space="preserve"> </w:t>
      </w:r>
      <w:r>
        <w:rPr>
          <w:spacing w:val="-57"/>
        </w:rPr>
        <w:t xml:space="preserve"> </w:t>
      </w:r>
      <w:r>
        <w:t>new</w:t>
      </w:r>
      <w:proofErr w:type="gramEnd"/>
      <w:r>
        <w:t xml:space="preserve"> rules.</w:t>
      </w:r>
      <w:r>
        <w:rPr>
          <w:spacing w:val="1"/>
        </w:rPr>
        <w:t xml:space="preserve"> </w:t>
      </w:r>
      <w:r>
        <w:t>It is important that each one of you as Professors, Staff, and Employees of Texas</w:t>
      </w:r>
      <w:r>
        <w:rPr>
          <w:spacing w:val="1"/>
        </w:rPr>
        <w:t xml:space="preserve"> </w:t>
      </w:r>
      <w:proofErr w:type="spellStart"/>
      <w:r>
        <w:t>Southmost</w:t>
      </w:r>
      <w:proofErr w:type="spellEnd"/>
      <w:r>
        <w:t xml:space="preserve"> College, have a working knowledge of Title IX.</w:t>
      </w:r>
      <w:r>
        <w:rPr>
          <w:spacing w:val="60"/>
        </w:rPr>
        <w:t xml:space="preserve"> </w:t>
      </w:r>
      <w:r>
        <w:t>What follows is a brief description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 Title IX</w:t>
      </w:r>
      <w:r>
        <w:rPr>
          <w:spacing w:val="-1"/>
        </w:rPr>
        <w:t xml:space="preserve"> </w:t>
      </w:r>
      <w:r>
        <w:t>Rules, and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Operational Procedures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TSC.</w:t>
      </w:r>
    </w:p>
    <w:p w:rsidR="007A6D93" w:rsidRDefault="007A6D93">
      <w:pPr>
        <w:pStyle w:val="BodyText"/>
        <w:spacing w:before="1"/>
        <w:ind w:left="0" w:firstLine="0"/>
      </w:pPr>
    </w:p>
    <w:p w:rsidR="007A6D93" w:rsidRDefault="00A57A83">
      <w:pPr>
        <w:pStyle w:val="BodyText"/>
        <w:ind w:left="100" w:firstLine="0"/>
      </w:pPr>
      <w:r>
        <w:t>The</w:t>
      </w:r>
      <w:r>
        <w:rPr>
          <w:spacing w:val="-3"/>
        </w:rPr>
        <w:t xml:space="preserve"> </w:t>
      </w:r>
      <w:r>
        <w:t>Process:</w:t>
      </w:r>
    </w:p>
    <w:p w:rsidR="007A6D93" w:rsidRDefault="007A6D93">
      <w:pPr>
        <w:pStyle w:val="BodyText"/>
        <w:ind w:left="0" w:firstLine="0"/>
      </w:pPr>
    </w:p>
    <w:p w:rsidR="007A6D93" w:rsidRDefault="00A57A83" w:rsidP="00A57A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after="240"/>
        <w:ind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is filed</w:t>
      </w:r>
    </w:p>
    <w:p w:rsidR="007A6D93" w:rsidRDefault="00A57A83" w:rsidP="00A57A83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820" w:right="266" w:hanging="360"/>
        <w:rPr>
          <w:sz w:val="24"/>
        </w:rPr>
      </w:pPr>
      <w:r>
        <w:rPr>
          <w:sz w:val="24"/>
        </w:rPr>
        <w:t>Title IX Coordinator promptly contacts the Complainant, offers supportive measures,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investigates allegations to determine wh</w:t>
      </w:r>
      <w:r w:rsidR="00687B1D">
        <w:rPr>
          <w:sz w:val="24"/>
        </w:rPr>
        <w:t>ether to proceed formally or in</w:t>
      </w:r>
      <w:r>
        <w:rPr>
          <w:sz w:val="24"/>
        </w:rPr>
        <w:t>formally.</w:t>
      </w:r>
      <w:r>
        <w:rPr>
          <w:spacing w:val="1"/>
          <w:sz w:val="24"/>
        </w:rPr>
        <w:t xml:space="preserve"> </w:t>
      </w:r>
      <w:r>
        <w:rPr>
          <w:sz w:val="24"/>
        </w:rPr>
        <w:t>Supportive measures may include counseling, modification of work or class schedules,</w:t>
      </w:r>
      <w:r>
        <w:rPr>
          <w:spacing w:val="1"/>
          <w:sz w:val="24"/>
        </w:rPr>
        <w:t xml:space="preserve"> </w:t>
      </w:r>
      <w:r>
        <w:rPr>
          <w:sz w:val="24"/>
        </w:rPr>
        <w:t>mutual restrictions on contact between parties, or other measures designed to protect the</w:t>
      </w:r>
      <w:r>
        <w:rPr>
          <w:spacing w:val="-57"/>
          <w:sz w:val="24"/>
        </w:rPr>
        <w:t xml:space="preserve"> </w:t>
      </w:r>
      <w:r>
        <w:rPr>
          <w:sz w:val="24"/>
        </w:rPr>
        <w:t>safety of the parties and the College and the continuation of educational programs or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supportive</w:t>
      </w:r>
      <w:r>
        <w:rPr>
          <w:spacing w:val="-1"/>
          <w:sz w:val="24"/>
        </w:rPr>
        <w:t xml:space="preserve"> </w:t>
      </w:r>
      <w:r>
        <w:rPr>
          <w:sz w:val="24"/>
        </w:rPr>
        <w:t>measures are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sufficient, 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 can</w:t>
      </w:r>
      <w:r>
        <w:rPr>
          <w:spacing w:val="-1"/>
          <w:sz w:val="24"/>
        </w:rPr>
        <w:t xml:space="preserve"> </w:t>
      </w:r>
      <w:r>
        <w:rPr>
          <w:sz w:val="24"/>
        </w:rPr>
        <w:t>end at</w:t>
      </w:r>
      <w:r>
        <w:rPr>
          <w:spacing w:val="-1"/>
          <w:sz w:val="24"/>
        </w:rPr>
        <w:t xml:space="preserve"> </w:t>
      </w:r>
      <w:r>
        <w:rPr>
          <w:sz w:val="24"/>
        </w:rPr>
        <w:t>this point.</w:t>
      </w:r>
    </w:p>
    <w:p w:rsidR="007A6D93" w:rsidRDefault="00A57A83" w:rsidP="00A57A83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820" w:right="696" w:hanging="36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Title IX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assign at least two trained investigators.</w:t>
      </w:r>
      <w:r>
        <w:rPr>
          <w:spacing w:val="1"/>
          <w:sz w:val="24"/>
        </w:rPr>
        <w:t xml:space="preserve"> </w:t>
      </w:r>
      <w:r>
        <w:rPr>
          <w:sz w:val="24"/>
        </w:rPr>
        <w:t>The investigators will meet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Complainant, notify and meet with the Respondent, gather, inspect and preserve</w:t>
      </w:r>
      <w:r>
        <w:rPr>
          <w:spacing w:val="1"/>
          <w:sz w:val="24"/>
        </w:rPr>
        <w:t xml:space="preserve"> </w:t>
      </w:r>
      <w:r>
        <w:rPr>
          <w:sz w:val="24"/>
        </w:rPr>
        <w:t>evidence,</w:t>
      </w:r>
      <w:r>
        <w:rPr>
          <w:spacing w:val="-1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witnesses and submit 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Coordinator.</w:t>
      </w:r>
    </w:p>
    <w:p w:rsidR="007A6D93" w:rsidRDefault="00A57A83" w:rsidP="00A57A83">
      <w:pPr>
        <w:pStyle w:val="ListParagraph"/>
        <w:numPr>
          <w:ilvl w:val="0"/>
          <w:numId w:val="1"/>
        </w:numPr>
        <w:tabs>
          <w:tab w:val="left" w:pos="821"/>
        </w:tabs>
        <w:spacing w:before="1" w:after="240"/>
        <w:ind w:left="820" w:right="367" w:hanging="360"/>
        <w:rPr>
          <w:sz w:val="24"/>
        </w:rPr>
      </w:pPr>
      <w:r>
        <w:rPr>
          <w:sz w:val="24"/>
        </w:rPr>
        <w:t>Trained Hearing/Decision Maker Officer(s) will be assigned and a hearing will be</w:t>
      </w:r>
      <w:r>
        <w:rPr>
          <w:spacing w:val="1"/>
          <w:sz w:val="24"/>
        </w:rPr>
        <w:t xml:space="preserve"> </w:t>
      </w:r>
      <w:r>
        <w:rPr>
          <w:sz w:val="24"/>
        </w:rPr>
        <w:t>scheduled by the Title IX Coordinator.</w:t>
      </w:r>
      <w:r>
        <w:rPr>
          <w:spacing w:val="1"/>
          <w:sz w:val="24"/>
        </w:rPr>
        <w:t xml:space="preserve"> </w:t>
      </w:r>
      <w:r>
        <w:rPr>
          <w:sz w:val="24"/>
        </w:rPr>
        <w:t>The time betw</w:t>
      </w:r>
      <w:r w:rsidR="00687B1D">
        <w:rPr>
          <w:sz w:val="24"/>
        </w:rPr>
        <w:t>een the notice of hearing</w:t>
      </w:r>
      <w:r>
        <w:rPr>
          <w:sz w:val="24"/>
        </w:rPr>
        <w:t xml:space="preserve"> and the hearing will be used to allow the parties to review and respond to the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that will used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hearing.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 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Advisor to assist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  <w:r w:rsidR="00687B1D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Non paid Advisors can be appointed by the College or hired by the parties at their </w:t>
      </w:r>
      <w:proofErr w:type="gramStart"/>
      <w:r>
        <w:rPr>
          <w:sz w:val="24"/>
        </w:rPr>
        <w:t>own</w:t>
      </w:r>
      <w:r w:rsidR="00E97A2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expense</w:t>
      </w:r>
      <w:proofErr w:type="gramEnd"/>
      <w:r>
        <w:rPr>
          <w:sz w:val="24"/>
        </w:rPr>
        <w:t>.</w:t>
      </w:r>
    </w:p>
    <w:p w:rsidR="00E97A28" w:rsidRDefault="00E97A28" w:rsidP="00E97A28">
      <w:pPr>
        <w:pStyle w:val="ListParagraph"/>
        <w:tabs>
          <w:tab w:val="left" w:pos="821"/>
        </w:tabs>
        <w:spacing w:before="1" w:after="240"/>
        <w:ind w:right="367" w:firstLine="0"/>
        <w:rPr>
          <w:sz w:val="24"/>
        </w:rPr>
      </w:pPr>
    </w:p>
    <w:p w:rsidR="00E97A28" w:rsidRDefault="00E97A28" w:rsidP="00E97A28">
      <w:pPr>
        <w:pStyle w:val="ListParagraph"/>
        <w:tabs>
          <w:tab w:val="left" w:pos="821"/>
        </w:tabs>
        <w:spacing w:before="1" w:after="240"/>
        <w:ind w:right="367" w:firstLine="0"/>
        <w:rPr>
          <w:sz w:val="24"/>
        </w:rPr>
      </w:pPr>
    </w:p>
    <w:p w:rsidR="00E97A28" w:rsidRDefault="00A57A83" w:rsidP="001559CF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820" w:right="244" w:hanging="360"/>
        <w:rPr>
          <w:sz w:val="24"/>
        </w:rPr>
      </w:pPr>
      <w:r w:rsidRPr="00E97A28">
        <w:rPr>
          <w:sz w:val="24"/>
        </w:rPr>
        <w:t>The hearing will be recorded live.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All parties and witnesses may be present.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Each party</w:t>
      </w:r>
      <w:r w:rsidRPr="00E97A28">
        <w:rPr>
          <w:spacing w:val="-57"/>
          <w:sz w:val="24"/>
        </w:rPr>
        <w:t xml:space="preserve"> </w:t>
      </w:r>
      <w:r w:rsidRPr="00E97A28">
        <w:rPr>
          <w:sz w:val="24"/>
        </w:rPr>
        <w:t>may present their relevant and legal evidence and arguments to the Hearing/Decision</w:t>
      </w:r>
      <w:r w:rsidRPr="00E97A28">
        <w:rPr>
          <w:spacing w:val="1"/>
          <w:sz w:val="24"/>
        </w:rPr>
        <w:t xml:space="preserve"> </w:t>
      </w:r>
      <w:r w:rsidR="004B5EFC">
        <w:rPr>
          <w:sz w:val="24"/>
        </w:rPr>
        <w:t>Maker Officer</w:t>
      </w:r>
      <w:r w:rsidRPr="00E97A28">
        <w:rPr>
          <w:sz w:val="24"/>
        </w:rPr>
        <w:t>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The Officer’s will decide the matter using a “preponderance of the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evidence” standard to determine whether or not the Respondent is responsible for the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allegations contained in the complaint.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The decision will be in writing, both parties will</w:t>
      </w:r>
      <w:r w:rsidRPr="00E97A28">
        <w:rPr>
          <w:spacing w:val="-57"/>
          <w:sz w:val="24"/>
        </w:rPr>
        <w:t xml:space="preserve"> </w:t>
      </w:r>
      <w:r w:rsidRPr="00E97A28">
        <w:rPr>
          <w:sz w:val="24"/>
        </w:rPr>
        <w:t>receive the decision simultaneously. The Hearing/Decision Maker Offi</w:t>
      </w:r>
      <w:r w:rsidR="004B5EFC">
        <w:rPr>
          <w:sz w:val="24"/>
        </w:rPr>
        <w:t>cer</w:t>
      </w:r>
      <w:r w:rsidRPr="00E97A28">
        <w:rPr>
          <w:sz w:val="24"/>
        </w:rPr>
        <w:t xml:space="preserve"> will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determine</w:t>
      </w:r>
      <w:r w:rsidRPr="00E97A28">
        <w:rPr>
          <w:spacing w:val="-2"/>
          <w:sz w:val="24"/>
        </w:rPr>
        <w:t xml:space="preserve"> </w:t>
      </w:r>
      <w:r w:rsidRPr="00E97A28">
        <w:rPr>
          <w:sz w:val="24"/>
        </w:rPr>
        <w:t>the sanctions to be</w:t>
      </w:r>
      <w:r w:rsidRPr="00E97A28">
        <w:rPr>
          <w:spacing w:val="-1"/>
          <w:sz w:val="24"/>
        </w:rPr>
        <w:t xml:space="preserve"> </w:t>
      </w:r>
      <w:r w:rsidRPr="00E97A28">
        <w:rPr>
          <w:sz w:val="24"/>
        </w:rPr>
        <w:t>imposed.</w:t>
      </w:r>
    </w:p>
    <w:p w:rsidR="007A6D93" w:rsidRPr="00E97A28" w:rsidRDefault="00A57A83" w:rsidP="001559CF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820" w:right="244" w:hanging="360"/>
        <w:rPr>
          <w:sz w:val="24"/>
        </w:rPr>
      </w:pPr>
      <w:r w:rsidRPr="00E97A28">
        <w:rPr>
          <w:sz w:val="24"/>
        </w:rPr>
        <w:t>If either party is not satisfied with the outcome or the sanctions imposed, an appeal may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be file</w:t>
      </w:r>
      <w:r w:rsidR="00E97A28">
        <w:rPr>
          <w:sz w:val="24"/>
        </w:rPr>
        <w:t>d</w:t>
      </w:r>
      <w:r w:rsidRPr="00E97A28">
        <w:rPr>
          <w:sz w:val="24"/>
        </w:rPr>
        <w:t xml:space="preserve"> </w:t>
      </w:r>
      <w:r w:rsidR="004B5EFC">
        <w:rPr>
          <w:sz w:val="24"/>
        </w:rPr>
        <w:t>with trained Appeals Hearing Officer</w:t>
      </w:r>
      <w:r w:rsidRPr="00E97A28">
        <w:rPr>
          <w:sz w:val="24"/>
        </w:rPr>
        <w:t>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Their decision is final.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 xml:space="preserve">The parties both have </w:t>
      </w:r>
      <w:proofErr w:type="gramStart"/>
      <w:r w:rsidRPr="00E97A28">
        <w:rPr>
          <w:sz w:val="24"/>
        </w:rPr>
        <w:t>the</w:t>
      </w:r>
      <w:r w:rsidR="00432D3C">
        <w:rPr>
          <w:sz w:val="24"/>
        </w:rPr>
        <w:t xml:space="preserve"> </w:t>
      </w:r>
      <w:r w:rsidRPr="00E97A28">
        <w:rPr>
          <w:spacing w:val="-57"/>
          <w:sz w:val="24"/>
        </w:rPr>
        <w:t xml:space="preserve"> </w:t>
      </w:r>
      <w:r w:rsidRPr="00E97A28">
        <w:rPr>
          <w:sz w:val="24"/>
        </w:rPr>
        <w:t>right</w:t>
      </w:r>
      <w:proofErr w:type="gramEnd"/>
      <w:r w:rsidRPr="00E97A28">
        <w:rPr>
          <w:spacing w:val="3"/>
          <w:sz w:val="24"/>
        </w:rPr>
        <w:t xml:space="preserve"> </w:t>
      </w:r>
      <w:r w:rsidRPr="00E97A28">
        <w:rPr>
          <w:sz w:val="24"/>
        </w:rPr>
        <w:t>to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appeal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on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limited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grounds</w:t>
      </w:r>
      <w:r w:rsidR="004B5EFC">
        <w:rPr>
          <w:sz w:val="24"/>
        </w:rPr>
        <w:t>:</w:t>
      </w:r>
      <w:r w:rsidRPr="00E97A28">
        <w:rPr>
          <w:spacing w:val="6"/>
          <w:sz w:val="24"/>
        </w:rPr>
        <w:t xml:space="preserve"> </w:t>
      </w:r>
      <w:r w:rsidRPr="00E97A28">
        <w:rPr>
          <w:sz w:val="24"/>
        </w:rPr>
        <w:t>(i)</w:t>
      </w:r>
      <w:r w:rsidRPr="00E97A28">
        <w:rPr>
          <w:spacing w:val="3"/>
          <w:sz w:val="24"/>
        </w:rPr>
        <w:t xml:space="preserve"> </w:t>
      </w:r>
      <w:r w:rsidRPr="00E97A28">
        <w:rPr>
          <w:sz w:val="24"/>
        </w:rPr>
        <w:t>material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procedural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error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that</w:t>
      </w:r>
      <w:r w:rsidRPr="00E97A28">
        <w:rPr>
          <w:spacing w:val="4"/>
          <w:sz w:val="24"/>
        </w:rPr>
        <w:t xml:space="preserve"> </w:t>
      </w:r>
      <w:r w:rsidRPr="00E97A28">
        <w:rPr>
          <w:sz w:val="24"/>
        </w:rPr>
        <w:t>materially</w:t>
      </w:r>
      <w:r w:rsidRPr="00E97A28">
        <w:rPr>
          <w:spacing w:val="-1"/>
          <w:sz w:val="24"/>
        </w:rPr>
        <w:t xml:space="preserve"> </w:t>
      </w:r>
      <w:r w:rsidRPr="00E97A28">
        <w:rPr>
          <w:sz w:val="24"/>
        </w:rPr>
        <w:t>affected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the outcome; (ii) material, new evidence not reasonably available at the time of the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hearing; (iii) conflict of interest or bias on the part of the Title IX Coordinator,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investigator, or hearing panelist that affected the outcome and; (iv) a decision and or</w:t>
      </w:r>
      <w:r w:rsidRPr="00E97A28">
        <w:rPr>
          <w:spacing w:val="1"/>
          <w:sz w:val="24"/>
        </w:rPr>
        <w:t xml:space="preserve"> </w:t>
      </w:r>
      <w:r w:rsidRPr="00E97A28">
        <w:rPr>
          <w:sz w:val="24"/>
        </w:rPr>
        <w:t>sanction that is clearly</w:t>
      </w:r>
      <w:r w:rsidRPr="00E97A28">
        <w:rPr>
          <w:spacing w:val="-5"/>
          <w:sz w:val="24"/>
        </w:rPr>
        <w:t xml:space="preserve"> </w:t>
      </w:r>
      <w:r w:rsidRPr="00E97A28">
        <w:rPr>
          <w:sz w:val="24"/>
        </w:rPr>
        <w:t>contrary</w:t>
      </w:r>
      <w:r w:rsidRPr="00E97A28">
        <w:rPr>
          <w:spacing w:val="-5"/>
          <w:sz w:val="24"/>
        </w:rPr>
        <w:t xml:space="preserve"> </w:t>
      </w:r>
      <w:r w:rsidRPr="00E97A28">
        <w:rPr>
          <w:sz w:val="24"/>
        </w:rPr>
        <w:t>to the</w:t>
      </w:r>
      <w:r w:rsidRPr="00E97A28">
        <w:rPr>
          <w:spacing w:val="-1"/>
          <w:sz w:val="24"/>
        </w:rPr>
        <w:t xml:space="preserve"> </w:t>
      </w:r>
      <w:r w:rsidRPr="00E97A28">
        <w:rPr>
          <w:sz w:val="24"/>
        </w:rPr>
        <w:t>weight of the</w:t>
      </w:r>
      <w:r w:rsidRPr="00E97A28">
        <w:rPr>
          <w:spacing w:val="-1"/>
          <w:sz w:val="24"/>
        </w:rPr>
        <w:t xml:space="preserve"> </w:t>
      </w:r>
      <w:r w:rsidRPr="00E97A28">
        <w:rPr>
          <w:sz w:val="24"/>
        </w:rPr>
        <w:t>evidence.</w:t>
      </w:r>
    </w:p>
    <w:p w:rsidR="007A6D93" w:rsidRDefault="007A6D93">
      <w:pPr>
        <w:rPr>
          <w:sz w:val="24"/>
        </w:rPr>
      </w:pPr>
    </w:p>
    <w:p w:rsidR="007A6D93" w:rsidRDefault="00A57A83" w:rsidP="00A57A83">
      <w:pPr>
        <w:pStyle w:val="BodyText"/>
        <w:spacing w:before="72"/>
        <w:ind w:left="460" w:right="509" w:firstLine="0"/>
        <w:jc w:val="both"/>
      </w:pPr>
      <w:r>
        <w:t>The procedures list</w:t>
      </w:r>
      <w:r w:rsidR="004B5EFC">
        <w:t>ed above are a summary</w:t>
      </w:r>
      <w:r w:rsidR="00E97A28">
        <w:t xml:space="preserve"> of Title IX, and are provided</w:t>
      </w:r>
      <w:r>
        <w:t xml:space="preserve"> as a</w:t>
      </w:r>
      <w:r>
        <w:rPr>
          <w:spacing w:val="-57"/>
        </w:rPr>
        <w:t xml:space="preserve"> </w:t>
      </w:r>
      <w:r w:rsidR="004B5EFC">
        <w:rPr>
          <w:spacing w:val="-57"/>
        </w:rPr>
        <w:t xml:space="preserve">  </w:t>
      </w:r>
      <w:r>
        <w:t>guide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you an</w:t>
      </w:r>
      <w:r>
        <w:rPr>
          <w:spacing w:val="-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97A28">
        <w:t>p</w:t>
      </w:r>
      <w:r>
        <w:t>rocess.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 Team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58"/>
        </w:rPr>
        <w:t xml:space="preserve"> </w:t>
      </w:r>
      <w:r>
        <w:t xml:space="preserve">with each one of the Divisions at TSC individually to give a more detailed explanation of </w:t>
      </w:r>
      <w:proofErr w:type="gramStart"/>
      <w:r>
        <w:t>the</w:t>
      </w:r>
      <w:r w:rsidR="00E97A28">
        <w:t xml:space="preserve"> </w:t>
      </w:r>
      <w:r>
        <w:rPr>
          <w:spacing w:val="-57"/>
        </w:rPr>
        <w:t xml:space="preserve"> </w:t>
      </w:r>
      <w:r>
        <w:t>mandated</w:t>
      </w:r>
      <w:proofErr w:type="gramEnd"/>
      <w:r>
        <w:rPr>
          <w:spacing w:val="-1"/>
        </w:rPr>
        <w:t xml:space="preserve"> </w:t>
      </w:r>
      <w:r>
        <w:t>requirements.</w:t>
      </w:r>
    </w:p>
    <w:sectPr w:rsidR="007A6D93">
      <w:headerReference w:type="default" r:id="rId8"/>
      <w:footerReference w:type="default" r:id="rId9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92" w:rsidRDefault="00A46B92" w:rsidP="00CE036F">
      <w:r>
        <w:separator/>
      </w:r>
    </w:p>
  </w:endnote>
  <w:endnote w:type="continuationSeparator" w:id="0">
    <w:p w:rsidR="00A46B92" w:rsidRDefault="00A46B92" w:rsidP="00CE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3716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036F" w:rsidRDefault="00CE03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7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36F" w:rsidRDefault="00CE0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92" w:rsidRDefault="00A46B92" w:rsidP="00CE036F">
      <w:r>
        <w:separator/>
      </w:r>
    </w:p>
  </w:footnote>
  <w:footnote w:type="continuationSeparator" w:id="0">
    <w:p w:rsidR="00A46B92" w:rsidRDefault="00A46B92" w:rsidP="00CE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6F" w:rsidRDefault="00CE036F" w:rsidP="00CE036F">
    <w:pPr>
      <w:spacing w:before="240"/>
      <w:ind w:left="7920" w:firstLine="72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A1BD86" wp14:editId="4CF0AEAC">
          <wp:simplePos x="0" y="0"/>
          <wp:positionH relativeFrom="column">
            <wp:posOffset>55245</wp:posOffset>
          </wp:positionH>
          <wp:positionV relativeFrom="paragraph">
            <wp:posOffset>137160</wp:posOffset>
          </wp:positionV>
          <wp:extent cx="668655" cy="823595"/>
          <wp:effectExtent l="0" t="0" r="0" b="0"/>
          <wp:wrapThrough wrapText="bothSides">
            <wp:wrapPolygon edited="0">
              <wp:start x="6769" y="0"/>
              <wp:lineTo x="0" y="5995"/>
              <wp:lineTo x="0" y="13490"/>
              <wp:lineTo x="8615" y="15988"/>
              <wp:lineTo x="8615" y="16987"/>
              <wp:lineTo x="11077" y="20984"/>
              <wp:lineTo x="11692" y="20984"/>
              <wp:lineTo x="16000" y="20984"/>
              <wp:lineTo x="17846" y="20984"/>
              <wp:lineTo x="18462" y="17986"/>
              <wp:lineTo x="17231" y="15988"/>
              <wp:lineTo x="20923" y="11991"/>
              <wp:lineTo x="20923" y="5995"/>
              <wp:lineTo x="14154" y="0"/>
              <wp:lineTo x="6769" y="0"/>
            </wp:wrapPolygon>
          </wp:wrapThrough>
          <wp:docPr id="4" name="Picture 4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25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869D307" wp14:editId="1ED18584">
          <wp:simplePos x="0" y="0"/>
          <wp:positionH relativeFrom="column">
            <wp:posOffset>850900</wp:posOffset>
          </wp:positionH>
          <wp:positionV relativeFrom="paragraph">
            <wp:posOffset>152400</wp:posOffset>
          </wp:positionV>
          <wp:extent cx="2440305" cy="458470"/>
          <wp:effectExtent l="0" t="0" r="0" b="0"/>
          <wp:wrapThrough wrapText="bothSides">
            <wp:wrapPolygon edited="0">
              <wp:start x="7756" y="0"/>
              <wp:lineTo x="0" y="898"/>
              <wp:lineTo x="0" y="11668"/>
              <wp:lineTo x="5059" y="15258"/>
              <wp:lineTo x="5396" y="19745"/>
              <wp:lineTo x="16356" y="19745"/>
              <wp:lineTo x="16356" y="15258"/>
              <wp:lineTo x="21415" y="11668"/>
              <wp:lineTo x="21415" y="1795"/>
              <wp:lineTo x="8600" y="0"/>
              <wp:lineTo x="7756" y="0"/>
            </wp:wrapPolygon>
          </wp:wrapThrough>
          <wp:docPr id="5" name="Picture 5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24" t="25247" b="3960"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C1F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874395</wp:posOffset>
              </wp:positionH>
              <wp:positionV relativeFrom="paragraph">
                <wp:posOffset>676274</wp:posOffset>
              </wp:positionV>
              <wp:extent cx="5501005" cy="0"/>
              <wp:effectExtent l="0" t="0" r="444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841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8.85pt;margin-top:53.25pt;width:433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t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3MYSzrHiI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"/>
          </w:pict>
        </mc:Fallback>
      </mc:AlternateContent>
    </w:r>
  </w:p>
  <w:p w:rsidR="00CE036F" w:rsidRPr="00AB62B1" w:rsidRDefault="00CE036F" w:rsidP="00CE036F">
    <w:pPr>
      <w:spacing w:before="240"/>
      <w:ind w:left="7200"/>
    </w:pPr>
    <w:r>
      <w:t xml:space="preserve">     </w:t>
    </w:r>
  </w:p>
  <w:p w:rsidR="00CE036F" w:rsidRPr="00CE036F" w:rsidRDefault="00F377E7" w:rsidP="00CE036F">
    <w:pPr>
      <w:spacing w:before="240"/>
      <w:rPr>
        <w:sz w:val="20"/>
        <w:szCs w:val="20"/>
      </w:rPr>
    </w:pPr>
    <w:r>
      <w:rPr>
        <w:sz w:val="20"/>
        <w:szCs w:val="20"/>
      </w:rPr>
      <w:t xml:space="preserve">   </w:t>
    </w:r>
    <w:r w:rsidR="00CE036F" w:rsidRPr="00CE036F">
      <w:rPr>
        <w:sz w:val="20"/>
        <w:szCs w:val="20"/>
      </w:rPr>
      <w:t>80 Fort Brown • Brownsville, Texas 78520 • (956) 295-3770 • Fax (956) 948-9459 • www.tsc.edu</w:t>
    </w:r>
  </w:p>
  <w:p w:rsidR="00CE036F" w:rsidRPr="00CE036F" w:rsidRDefault="00CE036F">
    <w:pPr>
      <w:pStyle w:val="Header"/>
      <w:rPr>
        <w:sz w:val="20"/>
        <w:szCs w:val="20"/>
      </w:rPr>
    </w:pPr>
  </w:p>
  <w:p w:rsidR="00CE036F" w:rsidRDefault="00CE0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EAF"/>
    <w:multiLevelType w:val="hybridMultilevel"/>
    <w:tmpl w:val="7054A9B2"/>
    <w:lvl w:ilvl="0" w:tplc="B2AACA40">
      <w:start w:val="1"/>
      <w:numFmt w:val="decimal"/>
      <w:lvlText w:val="%1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C46B38">
      <w:numFmt w:val="bullet"/>
      <w:lvlText w:val="•"/>
      <w:lvlJc w:val="left"/>
      <w:pPr>
        <w:ind w:left="1748" w:hanging="420"/>
      </w:pPr>
      <w:rPr>
        <w:rFonts w:hint="default"/>
        <w:lang w:val="en-US" w:eastAsia="en-US" w:bidi="ar-SA"/>
      </w:rPr>
    </w:lvl>
    <w:lvl w:ilvl="2" w:tplc="B2E45AE6">
      <w:numFmt w:val="bullet"/>
      <w:lvlText w:val="•"/>
      <w:lvlJc w:val="left"/>
      <w:pPr>
        <w:ind w:left="2616" w:hanging="420"/>
      </w:pPr>
      <w:rPr>
        <w:rFonts w:hint="default"/>
        <w:lang w:val="en-US" w:eastAsia="en-US" w:bidi="ar-SA"/>
      </w:rPr>
    </w:lvl>
    <w:lvl w:ilvl="3" w:tplc="A82C31A4">
      <w:numFmt w:val="bullet"/>
      <w:lvlText w:val="•"/>
      <w:lvlJc w:val="left"/>
      <w:pPr>
        <w:ind w:left="3484" w:hanging="420"/>
      </w:pPr>
      <w:rPr>
        <w:rFonts w:hint="default"/>
        <w:lang w:val="en-US" w:eastAsia="en-US" w:bidi="ar-SA"/>
      </w:rPr>
    </w:lvl>
    <w:lvl w:ilvl="4" w:tplc="E29AC150">
      <w:numFmt w:val="bullet"/>
      <w:lvlText w:val="•"/>
      <w:lvlJc w:val="left"/>
      <w:pPr>
        <w:ind w:left="4352" w:hanging="420"/>
      </w:pPr>
      <w:rPr>
        <w:rFonts w:hint="default"/>
        <w:lang w:val="en-US" w:eastAsia="en-US" w:bidi="ar-SA"/>
      </w:rPr>
    </w:lvl>
    <w:lvl w:ilvl="5" w:tplc="A9B6145C">
      <w:numFmt w:val="bullet"/>
      <w:lvlText w:val="•"/>
      <w:lvlJc w:val="left"/>
      <w:pPr>
        <w:ind w:left="5220" w:hanging="420"/>
      </w:pPr>
      <w:rPr>
        <w:rFonts w:hint="default"/>
        <w:lang w:val="en-US" w:eastAsia="en-US" w:bidi="ar-SA"/>
      </w:rPr>
    </w:lvl>
    <w:lvl w:ilvl="6" w:tplc="71DCA110">
      <w:numFmt w:val="bullet"/>
      <w:lvlText w:val="•"/>
      <w:lvlJc w:val="left"/>
      <w:pPr>
        <w:ind w:left="6088" w:hanging="420"/>
      </w:pPr>
      <w:rPr>
        <w:rFonts w:hint="default"/>
        <w:lang w:val="en-US" w:eastAsia="en-US" w:bidi="ar-SA"/>
      </w:rPr>
    </w:lvl>
    <w:lvl w:ilvl="7" w:tplc="4DC87A20">
      <w:numFmt w:val="bullet"/>
      <w:lvlText w:val="•"/>
      <w:lvlJc w:val="left"/>
      <w:pPr>
        <w:ind w:left="6956" w:hanging="420"/>
      </w:pPr>
      <w:rPr>
        <w:rFonts w:hint="default"/>
        <w:lang w:val="en-US" w:eastAsia="en-US" w:bidi="ar-SA"/>
      </w:rPr>
    </w:lvl>
    <w:lvl w:ilvl="8" w:tplc="9C9230E2">
      <w:numFmt w:val="bullet"/>
      <w:lvlText w:val="•"/>
      <w:lvlJc w:val="left"/>
      <w:pPr>
        <w:ind w:left="7824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93"/>
    <w:rsid w:val="00180C1F"/>
    <w:rsid w:val="001B62ED"/>
    <w:rsid w:val="00273E1C"/>
    <w:rsid w:val="00432D3C"/>
    <w:rsid w:val="004B5EFC"/>
    <w:rsid w:val="004F2525"/>
    <w:rsid w:val="00687B1D"/>
    <w:rsid w:val="007A6D93"/>
    <w:rsid w:val="008F2B80"/>
    <w:rsid w:val="00A46B92"/>
    <w:rsid w:val="00A57A83"/>
    <w:rsid w:val="00CE036F"/>
    <w:rsid w:val="00E97A28"/>
    <w:rsid w:val="00EC0C11"/>
    <w:rsid w:val="00F20645"/>
    <w:rsid w:val="00F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6E5E"/>
  <w15:docId w15:val="{22EA97A7-C386-44A7-9E97-7BE000E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3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2F3F-1BC8-4B46-83A1-CBAFA79B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Southmost College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recio</dc:creator>
  <cp:lastModifiedBy>Cristina Garcia</cp:lastModifiedBy>
  <cp:revision>3</cp:revision>
  <dcterms:created xsi:type="dcterms:W3CDTF">2021-06-03T20:05:00Z</dcterms:created>
  <dcterms:modified xsi:type="dcterms:W3CDTF">2021-06-04T20:16:00Z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